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 DE DISPENSA ELETRÔ</w:t>
      </w:r>
      <w:r>
        <w:rPr>
          <w:rFonts w:cs="Arial" w:ascii="Calibri" w:hAnsi="Calibri"/>
          <w:b/>
          <w:bCs/>
          <w:color w:val="000000"/>
          <w:sz w:val="20"/>
          <w:szCs w:val="20"/>
          <w:shd w:fill="auto" w:val="clear"/>
          <w:lang w:eastAsia="en-US"/>
        </w:rPr>
        <w:t>NICA Nº 3</w:t>
      </w:r>
      <w:r>
        <w:rPr>
          <w:rFonts w:cs="Arial" w:ascii="Calibri" w:hAnsi="Calibri"/>
          <w:b/>
          <w:bCs/>
          <w:color w:val="000000"/>
          <w:sz w:val="20"/>
          <w:szCs w:val="20"/>
          <w:shd w:fill="auto" w:val="clear"/>
          <w:lang w:eastAsia="en-US"/>
        </w:rPr>
        <w:t>8</w:t>
      </w:r>
      <w:r>
        <w:rPr>
          <w:rFonts w:eastAsia="Times New Roman" w:cs="Arial" w:ascii="Calibri" w:hAnsi="Calibri"/>
          <w:b/>
          <w:bCs/>
          <w:color w:val="000000"/>
          <w:kern w:val="0"/>
          <w:sz w:val="20"/>
          <w:szCs w:val="20"/>
          <w:shd w:fill="auto" w:val="clear"/>
          <w:lang w:val="pt-BR" w:eastAsia="pt-BR" w:bidi="ar-SA"/>
        </w:rPr>
        <w:t>/2022</w:t>
      </w:r>
    </w:p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/>
          <w:bCs/>
          <w:color w:val="000000"/>
          <w:sz w:val="20"/>
          <w:szCs w:val="20"/>
          <w:shd w:fill="auto" w:val="clear"/>
          <w:lang w:eastAsia="en-US"/>
        </w:rPr>
      </w:pPr>
      <w:r>
        <w:rPr>
          <w:rFonts w:cs="Arial" w:ascii="Calibri" w:hAnsi="Calibri"/>
          <w:b/>
          <w:bCs/>
          <w:color w:val="000000"/>
          <w:sz w:val="20"/>
          <w:szCs w:val="20"/>
          <w:shd w:fill="auto" w:val="clear"/>
          <w:lang w:eastAsia="en-US"/>
        </w:rPr>
      </w:r>
    </w:p>
    <w:p>
      <w:pPr>
        <w:pStyle w:val="Rodap"/>
        <w:widowControl/>
        <w:shd w:val="clear" w:fill="FFFFFF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 w:val="false"/>
          <w:bCs w:val="false"/>
          <w:i w:val="false"/>
          <w:iCs w:val="false"/>
          <w:color w:val="000000"/>
          <w:sz w:val="20"/>
          <w:szCs w:val="20"/>
          <w:shd w:fill="auto" w:val="clear"/>
          <w:lang w:eastAsia="en-US"/>
        </w:rPr>
        <w:t>Processo Administrativo n.°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0"/>
          <w:szCs w:val="20"/>
          <w:shd w:fill="auto" w:val="clear"/>
          <w:lang w:val="pt-BR" w:eastAsia="pt-BR" w:bidi="ar-SA"/>
        </w:rPr>
        <w:t xml:space="preserve">  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shd w:fill="auto" w:val="clear"/>
          <w:lang w:val="pt-BR" w:eastAsia="pt-BR" w:bidi="ar-SA"/>
        </w:rPr>
        <w:t>23186.001298/2022-63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shd w:fill="auto" w:val="clear"/>
        </w:rPr>
        <w:t>ANEXO III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(a ser anexada ao sistema quando convocado  após a fase de lances/negociação. Caso não seja possível anexar ao sistema, poderá ser </w:t>
      </w:r>
      <w:r>
        <w:rPr>
          <w:rStyle w:val="LinkdaInternet"/>
          <w:rFonts w:eastAsia="Times New Roman" w:cs="Arial" w:ascii="Calibri" w:hAnsi="Calibri"/>
          <w:i/>
          <w:iCs/>
          <w:color w:val="000000"/>
          <w:kern w:val="0"/>
          <w:sz w:val="20"/>
          <w:szCs w:val="20"/>
          <w:lang w:val="pt-BR" w:eastAsia="pt-BR" w:bidi="ar-SA"/>
        </w:rPr>
        <w:t>enviada</w:t>
      </w: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 para o e-mail </w:t>
      </w:r>
      <w:hyperlink r:id="rId2">
        <w:r>
          <w:rPr>
            <w:rStyle w:val="LinkdaInternet"/>
            <w:rFonts w:ascii="Calibri" w:hAnsi="Calibri"/>
            <w:sz w:val="20"/>
            <w:szCs w:val="20"/>
          </w:rPr>
          <w:t>clc.vni@ifes.edu.br</w:t>
        </w:r>
      </w:hyperlink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>)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P"/>
        <w:bidi w:val="0"/>
        <w:spacing w:before="0" w:after="240"/>
        <w:rPr>
          <w:rFonts w:ascii="Arial" w:hAnsi="Arial" w:cs="Calibri"/>
          <w:b w:val="false"/>
          <w:b w:val="false"/>
          <w:color w:val="000000"/>
          <w:sz w:val="20"/>
          <w:szCs w:val="20"/>
        </w:rPr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</w:r>
    </w:p>
    <w:p>
      <w:pPr>
        <w:pStyle w:val="Corpodotexto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ab/>
        <w:t>Prezados Senhores,</w:t>
      </w:r>
    </w:p>
    <w:p>
      <w:pPr>
        <w:pStyle w:val="Corpodotexto"/>
        <w:bidi w:val="0"/>
        <w:spacing w:before="0" w:after="240"/>
        <w:jc w:val="both"/>
        <w:rPr>
          <w:shd w:fill="auto" w:val="clear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</w:rPr>
        <w:t>Apresentamos a V.Sª, nossa proposta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de preços para a c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ontratação de empresa especializada em prestação de serviços de recarga dos extintores de incêndio para o Instituto Federal do Espírito Santo – IFES Campus Venda Nova do Imigrante , conforme o(s) </w:t>
      </w:r>
      <w:r>
        <w:rPr>
          <w:rFonts w:eastAsia="Arial" w:cs="Calibri" w:ascii="Calibri" w:hAnsi="Calibri"/>
          <w:i w:val="false"/>
          <w:iCs w:val="false"/>
          <w:color w:val="1C1C1C"/>
          <w:sz w:val="20"/>
          <w:szCs w:val="20"/>
          <w:shd w:fill="auto" w:val="clear"/>
        </w:rPr>
        <w:t xml:space="preserve">item(s) </w:t>
      </w:r>
      <w:r>
        <w:rPr>
          <w:rFonts w:cs="Calibri" w:ascii="Calibri" w:hAnsi="Calibri"/>
          <w:color w:val="000000"/>
          <w:sz w:val="20"/>
          <w:szCs w:val="20"/>
          <w:shd w:fill="auto" w:val="clear"/>
        </w:rPr>
        <w:t>abaixo relacionado(s), nos termos do Edital e Anexos.</w:t>
      </w:r>
    </w:p>
    <w:p>
      <w:pPr>
        <w:pStyle w:val="Corpodotexto"/>
        <w:bidi w:val="0"/>
        <w:spacing w:before="0" w:after="24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</w:r>
    </w:p>
    <w:tbl>
      <w:tblPr>
        <w:tblW w:w="9075" w:type="dxa"/>
        <w:jc w:val="left"/>
        <w:tblInd w:w="-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2894"/>
        <w:gridCol w:w="1187"/>
        <w:gridCol w:w="1170"/>
        <w:gridCol w:w="1892"/>
        <w:gridCol w:w="1313"/>
      </w:tblGrid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16"/>
                <w:szCs w:val="16"/>
                <w:shd w:fill="auto" w:val="clear"/>
              </w:rPr>
              <w:t>ITEM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Arial"/>
                <w:b/>
                <w:b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Calibri" w:hAnsi="Calibri"/>
                <w:b/>
                <w:color w:val="000000"/>
                <w:sz w:val="16"/>
                <w:szCs w:val="16"/>
                <w:shd w:fill="auto" w:val="clear"/>
              </w:rPr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16"/>
                <w:szCs w:val="16"/>
                <w:shd w:fill="auto" w:val="clear"/>
              </w:rPr>
              <w:t>DESCRIÇÃO/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16"/>
                <w:szCs w:val="16"/>
                <w:shd w:fill="auto" w:val="clear"/>
              </w:rPr>
              <w:t>ESPECIFICAÇÃO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16"/>
                <w:szCs w:val="16"/>
                <w:shd w:fill="auto" w:val="clear"/>
              </w:rPr>
              <w:t>UNID. DE MEDIDA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b/>
                <w:bCs/>
                <w:color w:val="000000"/>
                <w:kern w:val="0"/>
                <w:sz w:val="16"/>
                <w:szCs w:val="16"/>
                <w:shd w:fill="auto" w:val="clear"/>
                <w:lang w:val="pt-BR" w:eastAsia="pt-BR" w:bidi="ar-SA"/>
              </w:rPr>
              <w:t>QTD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eastAsia="Times New Roman" w:cs="Arial"/>
                <w:b/>
                <w:b/>
                <w:bCs/>
                <w:color w:val="000000"/>
                <w:kern w:val="0"/>
                <w:sz w:val="16"/>
                <w:szCs w:val="16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b/>
                <w:bCs/>
                <w:color w:val="000000"/>
                <w:kern w:val="0"/>
                <w:sz w:val="16"/>
                <w:szCs w:val="16"/>
                <w:shd w:fill="auto" w:val="clear"/>
                <w:lang w:val="pt-BR" w:eastAsia="pt-BR" w:bidi="ar-SA"/>
              </w:rPr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16"/>
                <w:szCs w:val="16"/>
                <w:shd w:fill="auto" w:val="clear"/>
              </w:rPr>
              <w:t>LOCAL DE ENTREGA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cs="Arial"/>
                <w:b/>
                <w:b/>
                <w:bCs/>
                <w:color w:val="000000"/>
                <w:sz w:val="16"/>
                <w:szCs w:val="16"/>
                <w:shd w:fill="auto" w:val="clear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16"/>
                <w:szCs w:val="16"/>
                <w:shd w:fill="auto" w:val="clear"/>
              </w:rPr>
              <w:t xml:space="preserve">PRAZO </w:t>
            </w:r>
            <w:r>
              <w:rPr>
                <w:rFonts w:eastAsia="Times New Roman" w:cs="Arial" w:ascii="Calibri" w:hAnsi="Calibri"/>
                <w:b/>
                <w:bCs/>
                <w:color w:val="000000"/>
                <w:kern w:val="0"/>
                <w:sz w:val="16"/>
                <w:szCs w:val="16"/>
                <w:shd w:fill="auto" w:val="clear"/>
                <w:lang w:val="pt-BR" w:eastAsia="pt-BR" w:bidi="ar-SA"/>
              </w:rPr>
              <w:t>DE ENTREGA</w:t>
            </w:r>
          </w:p>
        </w:tc>
      </w:tr>
      <w:tr>
        <w:trPr/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cs="Arial"/>
                <w:b/>
                <w:b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Calibri" w:hAnsi="Calibri"/>
                <w:b/>
                <w:color w:val="000000"/>
                <w:sz w:val="18"/>
                <w:szCs w:val="18"/>
                <w:shd w:fill="auto" w:val="clear"/>
              </w:rPr>
              <w:t>1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18"/>
                <w:szCs w:val="18"/>
                <w:shd w:fill="auto" w:val="clear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  <w:t xml:space="preserve">Manutenção de segundo nível e recarga em extintores de incêndio de Gás Carbônico (CO²) de 6 kg. Serviço a ser executado conforme normas de fabricação e utilização, incluindo o recolhimento do extintor e a recolocação do mesmo nos locais determinados, com FORNECIMENTO DE PEÇAS tais como válvula, tubo, sifão, vedações, mangueira, difusor, manômetro, lacre, selo, pintura, troca de adesivo/rótulo de instruções e demais componentes que se fizerem necessários conforme NBR 12962:2016 e NT 12/2020 do CBMES. 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eastAsia="Times New Roman" w:cs="Arial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  <w:t>Serviço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eastAsia="Times New Roman" w:cs="Arial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  <w:t>2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cs="Arial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  <w:shd w:fill="auto" w:val="clear"/>
              </w:rPr>
              <w:t>Venda Nova do Imigrante ES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widowControl w:val="false"/>
              <w:tabs>
                <w:tab w:val="clear" w:pos="709"/>
                <w:tab w:val="left" w:pos="960" w:leader="none"/>
              </w:tabs>
              <w:suppressAutoHyphens w:val="true"/>
              <w:bidi w:val="0"/>
              <w:spacing w:lineRule="auto" w:line="276" w:before="120" w:after="120"/>
              <w:ind w:left="0" w:right="0" w:hanging="0"/>
              <w:contextualSpacing/>
              <w:jc w:val="center"/>
              <w:rPr>
                <w:rFonts w:ascii="Calibri" w:hAnsi="Calibri"/>
                <w:sz w:val="18"/>
                <w:szCs w:val="18"/>
                <w:shd w:fill="auto" w:val="clear"/>
              </w:rPr>
            </w:pPr>
            <w:r>
              <w:rPr>
                <w:rFonts w:eastAsia="Times New Roman" w:cs="Calibri" w:ascii="Calibri" w:hAnsi="Calibri"/>
                <w:bCs/>
                <w:i w:val="false"/>
                <w:iCs w:val="false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  <w:t>15 dias</w:t>
            </w:r>
          </w:p>
        </w:tc>
      </w:tr>
      <w:tr>
        <w:trPr/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cs="Arial"/>
                <w:b/>
                <w:b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Calibri" w:hAnsi="Calibri"/>
                <w:b/>
                <w:color w:val="000000"/>
                <w:sz w:val="18"/>
                <w:szCs w:val="18"/>
                <w:shd w:fill="auto" w:val="clear"/>
              </w:rPr>
              <w:t>2</w:t>
            </w:r>
          </w:p>
        </w:tc>
        <w:tc>
          <w:tcPr>
            <w:tcW w:w="2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18"/>
                <w:szCs w:val="18"/>
                <w:shd w:fill="auto" w:val="clear"/>
              </w:rPr>
            </w:pPr>
            <w:r>
              <w:rPr>
                <w:rFonts w:ascii="Calibri" w:hAnsi="Calibri"/>
                <w:sz w:val="18"/>
                <w:szCs w:val="18"/>
                <w:shd w:fill="auto" w:val="clear"/>
              </w:rPr>
              <w:t xml:space="preserve">Manutenção de segundo nível e recarga em extintores de incêndio de Pó Químico Seco ABC de 6 kg. Serviço a ser executado conforme normas de fabricação e utilização, incluindo o recolhimento do extintor e a recolocação do mesmo nos locais determinados, com FORNECIMENTO DE 3662 Serviço 53 PEÇAS tais como válvula, tubo, sifão, vedações, mangueira, difusor, manômetro, lacre, selo, pintura, troca de adesivo/rótulo de instruções e demais componentes que se fizerem necessários conforme NBR 12962:2016 e NT 12/2020 do CBMES. 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eastAsia="Times New Roman" w:cs="Arial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  <w:t>Serviço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eastAsia="Times New Roman" w:cs="Arial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  <w:t>53</w:t>
            </w: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cs="Arial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  <w:shd w:fill="auto" w:val="clear"/>
              </w:rPr>
              <w:t>Venda Nova do Imigrante ES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widowControl w:val="false"/>
              <w:tabs>
                <w:tab w:val="clear" w:pos="709"/>
                <w:tab w:val="left" w:pos="960" w:leader="none"/>
              </w:tabs>
              <w:suppressAutoHyphens w:val="true"/>
              <w:bidi w:val="0"/>
              <w:spacing w:lineRule="auto" w:line="276" w:before="120" w:after="120"/>
              <w:ind w:left="0" w:right="0" w:hanging="0"/>
              <w:contextualSpacing/>
              <w:jc w:val="center"/>
              <w:rPr>
                <w:rFonts w:ascii="Calibri" w:hAnsi="Calibri"/>
                <w:sz w:val="18"/>
                <w:szCs w:val="18"/>
                <w:shd w:fill="auto" w:val="clear"/>
              </w:rPr>
            </w:pPr>
            <w:r>
              <w:rPr>
                <w:rFonts w:ascii="Calibri" w:hAnsi="Calibri"/>
                <w:sz w:val="18"/>
                <w:szCs w:val="18"/>
                <w:shd w:fill="auto" w:val="clear"/>
              </w:rPr>
              <w:t>15 dias</w:t>
            </w:r>
          </w:p>
        </w:tc>
      </w:tr>
      <w:tr>
        <w:trPr/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cs="Arial"/>
                <w:b/>
                <w:b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Calibri" w:hAnsi="Calibri"/>
                <w:b/>
                <w:color w:val="000000"/>
                <w:sz w:val="18"/>
                <w:szCs w:val="18"/>
                <w:shd w:fill="auto" w:val="clear"/>
              </w:rPr>
              <w:t>3</w:t>
            </w:r>
          </w:p>
        </w:tc>
        <w:tc>
          <w:tcPr>
            <w:tcW w:w="28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2"/>
              <w:jc w:val="both"/>
              <w:rPr>
                <w:rFonts w:ascii="Calibri" w:hAnsi="Calibri"/>
                <w:sz w:val="18"/>
                <w:szCs w:val="18"/>
                <w:shd w:fill="auto" w:val="clear"/>
              </w:rPr>
            </w:pPr>
            <w:r>
              <w:rPr>
                <w:rFonts w:ascii="Calibri" w:hAnsi="Calibri"/>
                <w:sz w:val="18"/>
                <w:szCs w:val="18"/>
                <w:shd w:fill="auto" w:val="clear"/>
              </w:rPr>
              <w:t xml:space="preserve">Manutenção de segundo nível e recarga em extintores de incêndio de Pó Químico Seco ABC de 4 kg. Serviço a ser executado conforme normas de fabricação e utilização, incluindo o recolhimento do extintor e a recolocação do mesmo nos locais determinados, com FORNECIMENTO DE PEÇAS tais como válvula, tubo, sifão, vedações, mangueira, difusor, manômetro, lacre, selo, pintura, troca de adesivo/rótulo de instruções e demais componentes que se fizerem necessários conforme NBR 12962:2016 e NT 12/2020 do CBMES. </w:t>
            </w:r>
          </w:p>
        </w:tc>
        <w:tc>
          <w:tcPr>
            <w:tcW w:w="1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eastAsia="Times New Roman" w:cs="Arial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  <w:t>Serviço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eastAsia="Times New Roman" w:cs="Arial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18"/>
                <w:szCs w:val="18"/>
                <w:shd w:fill="auto" w:val="clear"/>
                <w:lang w:val="pt-BR" w:eastAsia="pt-BR" w:bidi="ar-SA"/>
              </w:rPr>
              <w:t>02</w:t>
            </w: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cs="Arial"/>
                <w:color w:val="000000"/>
                <w:sz w:val="18"/>
                <w:szCs w:val="18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18"/>
                <w:szCs w:val="18"/>
                <w:shd w:fill="auto" w:val="clear"/>
              </w:rPr>
              <w:t>Venda Nova do Imigrante ES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widowControl w:val="false"/>
              <w:tabs>
                <w:tab w:val="clear" w:pos="709"/>
                <w:tab w:val="left" w:pos="960" w:leader="none"/>
              </w:tabs>
              <w:suppressAutoHyphens w:val="true"/>
              <w:bidi w:val="0"/>
              <w:spacing w:lineRule="auto" w:line="276" w:before="120" w:after="120"/>
              <w:ind w:left="0" w:right="0" w:hanging="0"/>
              <w:contextualSpacing/>
              <w:jc w:val="center"/>
              <w:rPr>
                <w:rFonts w:ascii="Calibri" w:hAnsi="Calibri"/>
                <w:sz w:val="18"/>
                <w:szCs w:val="18"/>
                <w:shd w:fill="auto" w:val="clear"/>
              </w:rPr>
            </w:pPr>
            <w:r>
              <w:rPr>
                <w:rFonts w:ascii="Calibri" w:hAnsi="Calibri"/>
                <w:sz w:val="18"/>
                <w:szCs w:val="18"/>
                <w:shd w:fill="auto" w:val="clear"/>
              </w:rPr>
              <w:t>15 dias</w:t>
            </w:r>
          </w:p>
        </w:tc>
      </w:tr>
      <w:tr>
        <w:trPr/>
        <w:tc>
          <w:tcPr>
            <w:tcW w:w="7761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0" w:after="120"/>
              <w:jc w:val="righ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Arial"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</w:rPr>
              <w:t>Valor Global: (R$)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widowControl w:val="false"/>
              <w:tabs>
                <w:tab w:val="clear" w:pos="709"/>
                <w:tab w:val="left" w:pos="960" w:leader="none"/>
              </w:tabs>
              <w:suppressAutoHyphens w:val="true"/>
              <w:bidi w:val="0"/>
              <w:spacing w:lineRule="auto" w:line="276" w:before="120" w:after="120"/>
              <w:ind w:left="0" w:right="0" w:hanging="0"/>
              <w:contextualSpacing/>
              <w:jc w:val="center"/>
              <w:rPr>
                <w:rFonts w:ascii="Calibri" w:hAnsi="Calibri"/>
                <w:sz w:val="18"/>
                <w:szCs w:val="18"/>
                <w:shd w:fill="auto" w:val="clear"/>
              </w:rPr>
            </w:pPr>
            <w:r>
              <w:rPr>
                <w:rFonts w:ascii="Calibri" w:hAnsi="Calibri"/>
                <w:sz w:val="18"/>
                <w:szCs w:val="18"/>
                <w:shd w:fill="auto" w:val="clear"/>
              </w:rPr>
            </w:r>
          </w:p>
        </w:tc>
      </w:tr>
      <w:tr>
        <w:trPr/>
        <w:tc>
          <w:tcPr>
            <w:tcW w:w="907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Contedodatabela"/>
              <w:widowControl w:val="false"/>
              <w:suppressAutoHyphens w:val="true"/>
              <w:spacing w:lineRule="auto" w:line="276" w:before="0" w:after="120"/>
              <w:jc w:val="left"/>
              <w:rPr>
                <w:rFonts w:ascii="Calibri" w:hAnsi="Calibri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cs="Arial"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shd w:fill="auto" w:val="clear"/>
              </w:rPr>
              <w:t xml:space="preserve">Valor Global por Extenso: 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</w:r>
    </w:p>
    <w:p>
      <w:pPr>
        <w:pStyle w:val="Normal"/>
        <w:suppressAutoHyphens w:val="false"/>
        <w:bidi w:val="0"/>
        <w:jc w:val="both"/>
        <w:rPr>
          <w:shd w:fill="auto" w:val="clear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 xml:space="preserve">Tendo examinado o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>Aviso de Dispensa Eletrônica nº 33/2022</w:t>
      </w: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 xml:space="preserve"> e seus Anexos, apresentamos a presente Proposta de Preços, cujo(s) valor(es) unitário e global por item encontram-se descritos acima, já inclusos todos os custos operacionais, encargos previdenciários, trabalhistas, tributários, comerciais e quaisquer outros que incidam direta ou indiretamente no fornecimento dos bens., nada mais sendo lícito pleitear a esse título. Outrossim, declaramos que caso nossa Proposta de Preços seja aceita, comprometemo-nos em:</w:t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shd w:fill="auto" w:val="clear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>a)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Aceitar a Nota de Empenho</w:t>
      </w:r>
      <w:r>
        <w:rPr>
          <w:rFonts w:cs="Calibri" w:ascii="Calibri" w:hAnsi="Calibri"/>
          <w:b w:val="false"/>
          <w:bCs w:val="false"/>
          <w:color w:val="000000"/>
          <w:sz w:val="20"/>
          <w:szCs w:val="20"/>
          <w:shd w:fill="auto" w:val="clear"/>
          <w:lang w:eastAsia="pt-BR" w:bidi="ar-SA"/>
        </w:rPr>
        <w:t xml:space="preserve"> </w:t>
      </w: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>no prazo de 5 (cinco) dias úteis após o seu recebimento.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shd w:fill="auto" w:val="clear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 xml:space="preserve">b) Fornecer o objeto deste certame, no prazo máximo de 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 xml:space="preserve">15 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>(noventa) dias corridos</w:t>
      </w: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>, em estrita observância das condições estabelecidas no termo de referência a contar do recebimento da Nota de Empenho.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hd w:fill="auto" w:val="clear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shd w:fill="auto" w:val="clear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>c) Emitir e entregar a nota fiscal, para que após a entrega e aceite do(s) produto(s) seja efetuado o respectivo pagamento;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shd w:fill="auto" w:val="clear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>d) Manter a validade desta Proposta de Preços pelo período mínimo de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60 dias.</w:t>
      </w:r>
    </w:p>
    <w:p>
      <w:pPr>
        <w:pStyle w:val="Normal"/>
        <w:tabs>
          <w:tab w:val="clear" w:pos="709"/>
          <w:tab w:val="left" w:pos="852" w:leader="none"/>
        </w:tabs>
        <w:suppressAutoHyphens w:val="false"/>
        <w:bidi w:val="0"/>
        <w:ind w:left="426" w:right="0" w:hanging="0"/>
        <w:jc w:val="both"/>
        <w:rPr>
          <w:rFonts w:ascii="Calibri" w:hAnsi="Calibri" w:cs="Calibri"/>
          <w:color w:val="000000"/>
          <w:sz w:val="20"/>
          <w:szCs w:val="20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  <w:shd w:fill="auto" w:val="clear"/>
        </w:rPr>
        <w:t xml:space="preserve">Declaramos </w:t>
      </w:r>
      <w:r>
        <w:rPr>
          <w:rFonts w:eastAsia="Calibri" w:cs="Calibri" w:ascii="Calibri" w:hAnsi="Calibri"/>
          <w:color w:val="000000"/>
          <w:sz w:val="20"/>
          <w:szCs w:val="20"/>
          <w:shd w:fill="auto" w:val="clear"/>
        </w:rPr>
        <w:t xml:space="preserve">que o(s) equipamento(s) a ser(em) entregue(s) estará(rão) em conformidade com o </w:t>
      </w:r>
      <w:r>
        <w:rPr>
          <w:rFonts w:eastAsia="Calibri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>Termo de Re</w:t>
      </w:r>
      <w:r>
        <w:rPr>
          <w:rFonts w:eastAsia="Calibri" w:cs="Calibri" w:ascii="Calibri" w:hAnsi="Calibri"/>
          <w:color w:val="000000"/>
          <w:kern w:val="0"/>
          <w:sz w:val="20"/>
          <w:szCs w:val="20"/>
          <w:lang w:val="pt-BR" w:eastAsia="pt-BR" w:bidi="ar-SA"/>
        </w:rPr>
        <w:t>ferência.</w:t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</w:rPr>
        <w:t>Declaramos,</w:t>
      </w:r>
      <w:r>
        <w:rPr>
          <w:rFonts w:cs="Calibri" w:ascii="Calibri" w:hAnsi="Calibri"/>
          <w:sz w:val="20"/>
          <w:szCs w:val="20"/>
          <w:lang w:eastAsia="pt-BR"/>
        </w:rPr>
        <w:t xml:space="preserve"> sob as penas da Lei nº 6.938/1981, que atendemos aos critérios de qualidade ambiental e sustentabilidade socioambiental, respeitando as normas de proteção do meio ambiente, estando ciente da obrigatoriedade do cumprimento integral ao que estabelece o art. 6º e seus incisos, da Instrução Normativa nº 01, de 19 de janeiro de 2010, do Ministério do Planejamento, Orçamento e Gestão (MPOG).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Nome, CPF e assinatura do responsável legal da empresa – CNPJ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/>
          <w:bCs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Observações:</w:t>
      </w:r>
    </w:p>
    <w:p>
      <w:pPr>
        <w:pStyle w:val="Normal"/>
        <w:bidi w:val="0"/>
        <w:jc w:val="left"/>
        <w:rPr>
          <w:rFonts w:ascii="Arial" w:hAnsi="Arial" w:eastAsia="Helvetica;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i/>
          <w:iCs/>
          <w:color w:val="FF0000"/>
          <w:sz w:val="20"/>
          <w:szCs w:val="20"/>
          <w:lang w:eastAsia="pt-BR" w:bidi="ar-SA"/>
        </w:rPr>
        <w:t>1. Emitir em papel que identifique a licitante</w:t>
      </w:r>
    </w:p>
    <w:p>
      <w:pPr>
        <w:pStyle w:val="Normal"/>
        <w:bidi w:val="0"/>
        <w:jc w:val="left"/>
        <w:rPr>
          <w:rFonts w:ascii="Arial" w:hAnsi="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2. Esse documento deve ser assinado eletronicamente ou impresso, assinado e digitalizado.</w:t>
      </w:r>
    </w:p>
    <w:p>
      <w:pPr>
        <w:pStyle w:val="Normal"/>
        <w:bidi w:val="0"/>
        <w:jc w:val="center"/>
        <w:rPr>
          <w:rFonts w:ascii="Calibri" w:hAnsi="Calibri" w:cs="Calibri"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FF0000"/>
          <w:sz w:val="20"/>
          <w:szCs w:val="20"/>
          <w:lang w:eastAsia="pt-BR" w:bidi="ar-SA"/>
        </w:rPr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LinkdaInternet">
    <w:name w:val="Link da Internet"/>
    <w:rPr>
      <w:color w:val="000080"/>
      <w:u w:val="single"/>
    </w:rPr>
  </w:style>
  <w:style w:type="character" w:styleId="Linkdainternetvisitado">
    <w:name w:val="Link da internet visitado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Rodap">
    <w:name w:val="Footer"/>
    <w:basedOn w:val="CabealhoeRodap"/>
    <w:pPr>
      <w:suppressLineNumbers/>
    </w:pPr>
    <w:rPr/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lc.vni@ifes.edu.br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166</TotalTime>
  <Application>LibreOffice/7.0.5.2$Windows_X86_64 LibreOffice_project/64390860c6cd0aca4beafafcfd84613dd9dfb63a</Application>
  <AppVersion>15.0000</AppVersion>
  <Pages>3</Pages>
  <Words>691</Words>
  <Characters>3866</Characters>
  <CharactersWithSpaces>4499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dcterms:modified xsi:type="dcterms:W3CDTF">2022-10-13T09:25:43Z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